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361"/>
        <w:gridCol w:w="5404"/>
      </w:tblGrid>
      <w:tr w:rsidR="00BA785F" w:rsidRPr="00C41829" w:rsidTr="004C121D">
        <w:trPr>
          <w:trHeight w:val="464"/>
          <w:jc w:val="center"/>
        </w:trPr>
        <w:tc>
          <w:tcPr>
            <w:tcW w:w="4361"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404"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4C121D">
        <w:trPr>
          <w:trHeight w:val="464"/>
          <w:jc w:val="center"/>
        </w:trPr>
        <w:tc>
          <w:tcPr>
            <w:tcW w:w="4361"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404" w:type="dxa"/>
          </w:tcPr>
          <w:p w:rsidR="00BA785F" w:rsidRPr="00323E33" w:rsidRDefault="00495E0E" w:rsidP="004C121D">
            <w:pPr>
              <w:bidi w:val="0"/>
              <w:spacing w:line="360" w:lineRule="auto"/>
              <w:rPr>
                <w:rFonts w:ascii="Candara" w:hAnsi="Candara"/>
                <w:b/>
                <w:caps/>
                <w:sz w:val="20"/>
                <w:szCs w:val="20"/>
                <w:lang w:eastAsia="fr-CA"/>
              </w:rPr>
            </w:pPr>
            <w:r>
              <w:rPr>
                <w:rFonts w:ascii="Candara" w:hAnsi="Candara"/>
                <w:b/>
                <w:bCs/>
                <w:noProof/>
                <w:sz w:val="20"/>
                <w:szCs w:val="20"/>
                <w:lang w:eastAsia="fr-FR"/>
              </w:rPr>
              <w:t>Dynamique de l'espace urbain</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lastRenderedPageBreak/>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323E33" w:rsidRDefault="00495E0E" w:rsidP="004C121D">
            <w:pPr>
              <w:pStyle w:val="Paragraphedeliste"/>
              <w:bidi w:val="0"/>
              <w:spacing w:line="240" w:lineRule="exact"/>
              <w:ind w:left="0"/>
              <w:rPr>
                <w:rFonts w:ascii="Candara" w:hAnsi="Candara"/>
                <w:b/>
                <w:bCs/>
                <w:noProof/>
                <w:sz w:val="20"/>
                <w:szCs w:val="20"/>
                <w:lang w:eastAsia="fr-FR"/>
              </w:rPr>
            </w:pPr>
            <w:r>
              <w:rPr>
                <w:rFonts w:ascii="Candara" w:hAnsi="Candara"/>
                <w:b/>
                <w:bCs/>
                <w:noProof/>
                <w:sz w:val="20"/>
                <w:szCs w:val="20"/>
                <w:lang w:eastAsia="fr-FR"/>
              </w:rPr>
              <w:t>Dynamique de l'espace urbain</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495E0E" w:rsidRPr="00495E0E" w:rsidRDefault="00495E0E" w:rsidP="00495E0E">
            <w:pPr>
              <w:pStyle w:val="Paragraphedeliste"/>
              <w:numPr>
                <w:ilvl w:val="0"/>
                <w:numId w:val="21"/>
              </w:numPr>
              <w:bidi w:val="0"/>
              <w:spacing w:line="240" w:lineRule="exact"/>
              <w:ind w:left="294"/>
              <w:jc w:val="both"/>
              <w:rPr>
                <w:rFonts w:ascii="Candara" w:hAnsi="Candara" w:cs="Verdana,Bold"/>
                <w:noProof/>
                <w:sz w:val="20"/>
                <w:szCs w:val="20"/>
                <w:lang w:eastAsia="fr-FR"/>
              </w:rPr>
            </w:pPr>
            <w:r w:rsidRPr="00495E0E">
              <w:rPr>
                <w:rFonts w:ascii="Candara" w:hAnsi="Candara" w:cs="Verdana,Bold"/>
                <w:noProof/>
                <w:sz w:val="20"/>
                <w:szCs w:val="20"/>
                <w:lang w:eastAsia="fr-FR"/>
              </w:rPr>
              <w:t>Maîtrise des notions de base concernant la ville et la géographie urbaine ;</w:t>
            </w:r>
          </w:p>
          <w:p w:rsidR="00BA785F" w:rsidRPr="00463864" w:rsidRDefault="00495E0E" w:rsidP="00495E0E">
            <w:pPr>
              <w:pStyle w:val="Paragraphedeliste"/>
              <w:numPr>
                <w:ilvl w:val="0"/>
                <w:numId w:val="21"/>
              </w:numPr>
              <w:bidi w:val="0"/>
              <w:spacing w:line="240" w:lineRule="exact"/>
              <w:ind w:left="294"/>
              <w:jc w:val="both"/>
              <w:rPr>
                <w:rFonts w:ascii="Candara" w:hAnsi="Candara" w:cs="Verdana,Bold"/>
                <w:b/>
                <w:bCs/>
                <w:noProof/>
                <w:sz w:val="20"/>
                <w:szCs w:val="20"/>
                <w:lang w:eastAsia="fr-FR"/>
              </w:rPr>
            </w:pPr>
            <w:r w:rsidRPr="00495E0E">
              <w:rPr>
                <w:rFonts w:ascii="Candara" w:hAnsi="Candara" w:cs="Verdana,Bold"/>
                <w:noProof/>
                <w:sz w:val="20"/>
                <w:szCs w:val="20"/>
                <w:lang w:eastAsia="fr-FR"/>
              </w:rPr>
              <w:t>Maîtrise de la lecture des photographies aériennes et de la cartographie urbaine.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4C121D">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Français ou Arabe</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495E0E" w:rsidP="00495E0E">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7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495E0E"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7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3709"/>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7627B" w:rsidRPr="00C45E32" w:rsidRDefault="0027627B" w:rsidP="00C45E32">
            <w:pPr>
              <w:autoSpaceDE w:val="0"/>
              <w:autoSpaceDN w:val="0"/>
              <w:bidi w:val="0"/>
              <w:adjustRightInd w:val="0"/>
              <w:jc w:val="both"/>
              <w:rPr>
                <w:rFonts w:asciiTheme="majorBidi" w:eastAsiaTheme="minorHAnsi" w:hAnsiTheme="majorBidi" w:cstheme="majorBidi"/>
                <w:lang w:eastAsia="en-US"/>
              </w:rPr>
            </w:pPr>
            <w:r w:rsidRPr="00C45E32">
              <w:rPr>
                <w:rFonts w:asciiTheme="majorBidi" w:eastAsiaTheme="minorHAnsi" w:hAnsiTheme="majorBidi" w:cstheme="majorBidi"/>
                <w:lang w:eastAsia="en-US"/>
              </w:rPr>
              <w:t>A l’issue du module l’étudiant doit être capable de :</w:t>
            </w:r>
          </w:p>
          <w:p w:rsidR="00495E0E" w:rsidRPr="00495E0E" w:rsidRDefault="00495E0E" w:rsidP="00495E0E">
            <w:pPr>
              <w:pStyle w:val="Paragraphedeliste"/>
              <w:numPr>
                <w:ilvl w:val="0"/>
                <w:numId w:val="13"/>
              </w:numPr>
              <w:bidi w:val="0"/>
              <w:spacing w:before="240" w:after="240" w:line="276" w:lineRule="auto"/>
              <w:ind w:left="477"/>
              <w:rPr>
                <w:rFonts w:asciiTheme="majorBidi" w:eastAsiaTheme="minorHAnsi" w:hAnsiTheme="majorBidi" w:cstheme="majorBidi"/>
                <w:lang w:eastAsia="en-US"/>
              </w:rPr>
            </w:pPr>
            <w:r w:rsidRPr="00495E0E">
              <w:rPr>
                <w:rFonts w:asciiTheme="majorBidi" w:eastAsiaTheme="minorHAnsi" w:hAnsiTheme="majorBidi" w:cstheme="majorBidi"/>
                <w:lang w:eastAsia="en-US"/>
              </w:rPr>
              <w:t>Maîtriser les notions centrales qui structurent le fait urbain à différentes échelles ;</w:t>
            </w:r>
          </w:p>
          <w:p w:rsidR="00495E0E" w:rsidRPr="00495E0E" w:rsidRDefault="00495E0E" w:rsidP="00495E0E">
            <w:pPr>
              <w:pStyle w:val="Paragraphedeliste"/>
              <w:numPr>
                <w:ilvl w:val="0"/>
                <w:numId w:val="13"/>
              </w:numPr>
              <w:bidi w:val="0"/>
              <w:spacing w:before="240" w:after="240" w:line="276" w:lineRule="auto"/>
              <w:ind w:left="477"/>
              <w:rPr>
                <w:rFonts w:asciiTheme="majorBidi" w:eastAsiaTheme="minorHAnsi" w:hAnsiTheme="majorBidi" w:cstheme="majorBidi"/>
                <w:lang w:eastAsia="en-US"/>
              </w:rPr>
            </w:pPr>
            <w:r w:rsidRPr="00495E0E">
              <w:rPr>
                <w:rFonts w:asciiTheme="majorBidi" w:eastAsiaTheme="minorHAnsi" w:hAnsiTheme="majorBidi" w:cstheme="majorBidi"/>
                <w:lang w:eastAsia="en-US"/>
              </w:rPr>
              <w:t>Comprendre la ville contemporaine dans sa complexité ;</w:t>
            </w:r>
          </w:p>
          <w:p w:rsidR="00495E0E" w:rsidRPr="00495E0E" w:rsidRDefault="00495E0E" w:rsidP="00495E0E">
            <w:pPr>
              <w:pStyle w:val="Paragraphedeliste"/>
              <w:numPr>
                <w:ilvl w:val="0"/>
                <w:numId w:val="13"/>
              </w:numPr>
              <w:bidi w:val="0"/>
              <w:spacing w:before="240" w:after="240" w:line="276" w:lineRule="auto"/>
              <w:ind w:left="477"/>
              <w:rPr>
                <w:rFonts w:asciiTheme="majorBidi" w:eastAsiaTheme="minorHAnsi" w:hAnsiTheme="majorBidi" w:cstheme="majorBidi"/>
                <w:lang w:eastAsia="en-US"/>
              </w:rPr>
            </w:pPr>
            <w:r w:rsidRPr="00495E0E">
              <w:rPr>
                <w:rFonts w:asciiTheme="majorBidi" w:eastAsiaTheme="minorHAnsi" w:hAnsiTheme="majorBidi" w:cstheme="majorBidi"/>
                <w:lang w:eastAsia="en-US"/>
              </w:rPr>
              <w:t>Comprendre les formes et les facteurs des dynamiques urbaines contemporaines : facteurs endogènes et facteurs exogènes (mondialisation et redéploiement de l’économie mondiale) ;</w:t>
            </w:r>
          </w:p>
          <w:p w:rsidR="00495E0E" w:rsidRPr="00495E0E" w:rsidRDefault="00495E0E" w:rsidP="00495E0E">
            <w:pPr>
              <w:pStyle w:val="Paragraphedeliste"/>
              <w:numPr>
                <w:ilvl w:val="0"/>
                <w:numId w:val="13"/>
              </w:numPr>
              <w:tabs>
                <w:tab w:val="num" w:pos="137"/>
              </w:tabs>
              <w:bidi w:val="0"/>
              <w:spacing w:before="240" w:after="240" w:line="276" w:lineRule="auto"/>
              <w:ind w:left="477"/>
              <w:rPr>
                <w:rFonts w:asciiTheme="majorBidi" w:eastAsiaTheme="minorHAnsi" w:hAnsiTheme="majorBidi" w:cstheme="majorBidi"/>
                <w:lang w:eastAsia="en-US"/>
              </w:rPr>
            </w:pPr>
            <w:r w:rsidRPr="00495E0E">
              <w:rPr>
                <w:rFonts w:asciiTheme="majorBidi" w:eastAsiaTheme="minorHAnsi" w:hAnsiTheme="majorBidi" w:cstheme="majorBidi"/>
                <w:lang w:eastAsia="en-US"/>
              </w:rPr>
              <w:t>Comprendre les grands paradigmes qui représentent les moyens de saisir les dynamiques urbaines contemporaines, à savoir : les dynamiques de peuplement des villes ; la métropolisation ; la fragmentation urbaine ; le redéploiement de l’économie urbaine ; les risques urbains ; les enjeux du développement urbain durable ;</w:t>
            </w:r>
          </w:p>
          <w:p w:rsidR="00495E0E" w:rsidRPr="00495E0E" w:rsidRDefault="00495E0E" w:rsidP="00495E0E">
            <w:pPr>
              <w:pStyle w:val="Paragraphedeliste"/>
              <w:numPr>
                <w:ilvl w:val="0"/>
                <w:numId w:val="13"/>
              </w:numPr>
              <w:tabs>
                <w:tab w:val="num" w:pos="137"/>
              </w:tabs>
              <w:bidi w:val="0"/>
              <w:spacing w:before="240" w:after="240" w:line="276" w:lineRule="auto"/>
              <w:ind w:left="477"/>
              <w:rPr>
                <w:rFonts w:asciiTheme="majorBidi" w:eastAsiaTheme="minorHAnsi" w:hAnsiTheme="majorBidi" w:cstheme="majorBidi"/>
                <w:lang w:eastAsia="en-US"/>
              </w:rPr>
            </w:pPr>
            <w:r w:rsidRPr="00495E0E">
              <w:rPr>
                <w:rFonts w:asciiTheme="majorBidi" w:eastAsiaTheme="minorHAnsi" w:hAnsiTheme="majorBidi" w:cstheme="majorBidi"/>
                <w:lang w:eastAsia="en-US"/>
              </w:rPr>
              <w:t>Saisir la relation entre : mutations des villes et transformations de la société et de la culture urbaine ;</w:t>
            </w:r>
          </w:p>
          <w:p w:rsidR="00BA785F" w:rsidRPr="00DF1971" w:rsidRDefault="00495E0E" w:rsidP="00495E0E">
            <w:pPr>
              <w:pStyle w:val="Paragraphedeliste"/>
              <w:numPr>
                <w:ilvl w:val="0"/>
                <w:numId w:val="13"/>
              </w:numPr>
              <w:autoSpaceDE w:val="0"/>
              <w:autoSpaceDN w:val="0"/>
              <w:bidi w:val="0"/>
              <w:adjustRightInd w:val="0"/>
              <w:spacing w:before="120"/>
              <w:ind w:left="477"/>
              <w:jc w:val="both"/>
              <w:rPr>
                <w:rFonts w:ascii="Candara" w:eastAsiaTheme="minorHAnsi" w:hAnsi="Candara" w:cs="Candara"/>
                <w:sz w:val="20"/>
                <w:szCs w:val="20"/>
                <w:lang w:eastAsia="en-US"/>
              </w:rPr>
            </w:pPr>
            <w:r w:rsidRPr="00495E0E">
              <w:rPr>
                <w:rFonts w:asciiTheme="majorBidi" w:eastAsiaTheme="minorHAnsi" w:hAnsiTheme="majorBidi" w:cstheme="majorBidi"/>
                <w:lang w:eastAsia="en-US"/>
              </w:rPr>
              <w:t>Maîtriser la lecture de la cartographie des dynamiques urbaines ;</w:t>
            </w:r>
          </w:p>
        </w:tc>
      </w:tr>
    </w:tbl>
    <w:p w:rsidR="00C45E32" w:rsidRDefault="00C45E32">
      <w:pPr>
        <w:bidi w:val="0"/>
        <w:spacing w:after="160" w:line="259" w:lineRule="auto"/>
        <w:rPr>
          <w:rFonts w:ascii="Candara" w:hAnsi="Candara"/>
          <w:b/>
          <w:bCs/>
          <w:smallCaps/>
          <w:noProof/>
          <w:color w:val="993300"/>
          <w:sz w:val="28"/>
          <w:szCs w:val="28"/>
          <w:lang w:eastAsia="fr-FR"/>
        </w:rPr>
      </w:pPr>
      <w:r>
        <w:rPr>
          <w:rFonts w:ascii="Candara" w:hAnsi="Candara"/>
          <w:b/>
          <w:bCs/>
          <w:smallCaps/>
          <w:noProof/>
          <w:color w:val="993300"/>
          <w:sz w:val="28"/>
          <w:szCs w:val="28"/>
          <w:lang w:eastAsia="fr-FR"/>
        </w:rPr>
        <w:br w:type="page"/>
      </w: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854AA9" w:rsidRPr="00EA289B" w:rsidTr="00751050">
        <w:trPr>
          <w:trHeight w:val="249"/>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48 heures</w:t>
            </w:r>
          </w:p>
        </w:tc>
      </w:tr>
      <w:tr w:rsidR="00854AA9" w:rsidRPr="00EA289B" w:rsidTr="00751050">
        <w:trPr>
          <w:trHeight w:val="134"/>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48h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27627B" w:rsidRPr="00BE61F2" w:rsidTr="000F43A1">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F43A1">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495E0E" w:rsidRPr="00495E0E" w:rsidRDefault="00495E0E" w:rsidP="00495E0E">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495E0E">
              <w:rPr>
                <w:rFonts w:asciiTheme="majorBidi" w:eastAsiaTheme="minorHAnsi" w:hAnsiTheme="majorBidi" w:cstheme="majorBidi"/>
                <w:lang w:eastAsia="en-US"/>
              </w:rPr>
              <w:t>Le Module vise à apporter des connaissances précises sur les mutations des villes contemporaines et à montrer comment ces mutations reflètent des logiques politiques et les transformations de la société et de l’économie, tant à l’échelle locale qu’à l’échelle mondiale.</w:t>
            </w:r>
          </w:p>
          <w:p w:rsidR="00BA785F" w:rsidRPr="00495E0E" w:rsidRDefault="00495E0E" w:rsidP="00495E0E">
            <w:pPr>
              <w:pStyle w:val="Paragraphedeliste"/>
              <w:numPr>
                <w:ilvl w:val="0"/>
                <w:numId w:val="23"/>
              </w:numPr>
              <w:bidi w:val="0"/>
              <w:ind w:left="477"/>
              <w:jc w:val="both"/>
              <w:rPr>
                <w:rFonts w:ascii="Candara" w:hAnsi="Candara"/>
                <w:b/>
                <w:bCs/>
                <w:sz w:val="16"/>
                <w:szCs w:val="16"/>
              </w:rPr>
            </w:pPr>
            <w:r w:rsidRPr="00495E0E">
              <w:rPr>
                <w:rFonts w:asciiTheme="majorBidi" w:eastAsiaTheme="minorHAnsi" w:hAnsiTheme="majorBidi" w:cstheme="majorBidi"/>
                <w:lang w:eastAsia="en-US"/>
              </w:rPr>
              <w:t>L’objectif est aussi de développer chez l’étudiant des savoirs pratiques concernant l’analyse d’un fait urbain (cas d’étude) dans toutes ses dimensions, en le replaçant dans son contexte historique et en identifiant les facteurs, les formes et les enjeux de ses mutations.</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t>Méthodes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Pr="00C45E32"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proofErr w:type="spellStart"/>
            <w:r w:rsidRPr="00C45E32">
              <w:rPr>
                <w:rFonts w:asciiTheme="majorBidi" w:hAnsiTheme="majorBidi" w:cstheme="majorBidi"/>
                <w:b/>
                <w:bCs/>
              </w:rPr>
              <w:t>autres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moyens</w:t>
            </w:r>
            <w:proofErr w:type="spellEnd"/>
            <w:r w:rsidRPr="00C45E32">
              <w:rPr>
                <w:rFonts w:asciiTheme="majorBidi" w:hAnsiTheme="majorBidi" w:cstheme="majorBidi"/>
                <w:b/>
                <w:bCs/>
              </w:rPr>
              <w:t xml:space="preserve"> et </w:t>
            </w:r>
            <w:proofErr w:type="spellStart"/>
            <w:r w:rsidRPr="00C45E32">
              <w:rPr>
                <w:rFonts w:asciiTheme="majorBidi" w:hAnsiTheme="majorBidi" w:cstheme="majorBidi"/>
                <w:b/>
                <w:bCs/>
              </w:rPr>
              <w:t>méthodes</w:t>
            </w:r>
            <w:proofErr w:type="spellEnd"/>
            <w:r w:rsidRPr="00C45E32">
              <w:rPr>
                <w:rFonts w:asciiTheme="majorBidi" w:hAnsiTheme="majorBidi" w:cstheme="majorBidi"/>
                <w:b/>
                <w:bCs/>
              </w:rPr>
              <w:t xml:space="preserve"> à </w:t>
            </w:r>
            <w:proofErr w:type="spellStart"/>
            <w:proofErr w:type="gramStart"/>
            <w:r w:rsidRPr="00C45E32">
              <w:rPr>
                <w:rFonts w:asciiTheme="majorBidi" w:hAnsiTheme="majorBidi" w:cstheme="majorBidi"/>
                <w:b/>
                <w:bCs/>
              </w:rPr>
              <w:t>déterminer</w:t>
            </w:r>
            <w:proofErr w:type="spellEnd"/>
            <w:r w:rsidRPr="00C45E32">
              <w:rPr>
                <w:rFonts w:asciiTheme="majorBidi" w:hAnsiTheme="majorBidi" w:cstheme="majorBidi"/>
                <w:b/>
                <w:bCs/>
                <w:rtl w:val="0"/>
              </w:rPr>
              <w:t> :</w:t>
            </w:r>
            <w:proofErr w:type="gramEnd"/>
          </w:p>
          <w:p w:rsidR="00BB2A10" w:rsidRPr="00C45E32" w:rsidRDefault="00DF26B1" w:rsidP="00BB2A10">
            <w:pPr>
              <w:pStyle w:val="Paragraphedeliste"/>
              <w:numPr>
                <w:ilvl w:val="0"/>
                <w:numId w:val="12"/>
              </w:numPr>
              <w:bidi w:val="0"/>
              <w:rPr>
                <w:rFonts w:asciiTheme="majorBidi" w:hAnsiTheme="majorBidi" w:cstheme="majorBidi"/>
                <w:b/>
                <w:bCs/>
              </w:rPr>
            </w:pPr>
            <w:r w:rsidRPr="00C45E32">
              <w:rPr>
                <w:rFonts w:asciiTheme="majorBidi" w:hAnsiTheme="majorBidi" w:cstheme="majorBidi"/>
                <w:b/>
                <w:bCs/>
              </w:rPr>
              <w:t xml:space="preserve"> </w:t>
            </w:r>
          </w:p>
          <w:p w:rsidR="00DF26B1" w:rsidRPr="00C45E32" w:rsidRDefault="00DF26B1" w:rsidP="00DF26B1">
            <w:pPr>
              <w:pStyle w:val="Paragraphedeliste"/>
              <w:numPr>
                <w:ilvl w:val="0"/>
                <w:numId w:val="12"/>
              </w:numPr>
              <w:bidi w:val="0"/>
              <w:rPr>
                <w:rFonts w:asciiTheme="majorBidi" w:hAnsiTheme="majorBidi" w:cstheme="majorBidi"/>
                <w:b/>
                <w:bCs/>
              </w:rPr>
            </w:pPr>
          </w:p>
          <w:p w:rsidR="00BA785F" w:rsidRPr="00BE4C8E" w:rsidRDefault="00BB2A10" w:rsidP="00B325CE">
            <w:pPr>
              <w:bidi w:val="0"/>
              <w:rPr>
                <w:rFonts w:ascii="Candara" w:hAnsi="Candara"/>
                <w:b/>
                <w:bCs/>
                <w:sz w:val="20"/>
                <w:szCs w:val="20"/>
              </w:rPr>
            </w:pPr>
            <w:r w:rsidRPr="00BE4C8E">
              <w:rPr>
                <w:rFonts w:ascii="Candara" w:hAnsi="Candara"/>
                <w:sz w:val="20"/>
                <w:szCs w:val="20"/>
                <w:rtl/>
              </w:rPr>
              <w:t>….</w:t>
            </w:r>
          </w:p>
          <w:p w:rsidR="00BA785F" w:rsidRPr="00323E33" w:rsidRDefault="00BA785F" w:rsidP="004C121D">
            <w:pPr>
              <w:bidi w:val="0"/>
              <w:rPr>
                <w:rFonts w:ascii="Candara" w:hAnsi="Candara"/>
                <w:b/>
                <w:bCs/>
                <w:sz w:val="16"/>
                <w:szCs w:val="16"/>
              </w:rPr>
            </w:pPr>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DF26B1">
        <w:trPr>
          <w:trHeight w:val="10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D05145" w:rsidRPr="00BE4C8E" w:rsidRDefault="00D05145" w:rsidP="004C121D">
            <w:pPr>
              <w:bidi w:val="0"/>
              <w:rPr>
                <w:rFonts w:ascii="Candara" w:hAnsi="Candara"/>
                <w:b/>
                <w:bCs/>
                <w:sz w:val="20"/>
                <w:szCs w:val="20"/>
              </w:rPr>
            </w:pP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DF26B1">
        <w:trPr>
          <w:trHeight w:val="91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BE4C8E" w:rsidRDefault="00BA785F" w:rsidP="004C121D">
            <w:pPr>
              <w:bidi w:val="0"/>
              <w:rPr>
                <w:rFonts w:ascii="Candara" w:hAnsi="Candara"/>
                <w:b/>
                <w:bCs/>
                <w:sz w:val="20"/>
                <w:szCs w:val="20"/>
              </w:rPr>
            </w:pP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Evaluation du module</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217698">
        <w:trPr>
          <w:trHeight w:val="1260"/>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79045C">
            <w:pPr>
              <w:pStyle w:val="Corpsdetexte"/>
              <w:tabs>
                <w:tab w:val="clear" w:pos="214"/>
                <w:tab w:val="right" w:pos="639"/>
              </w:tabs>
              <w:ind w:left="639"/>
              <w:rPr>
                <w:rFonts w:ascii="Candara" w:hAnsi="Candara"/>
                <w:b/>
                <w:bCs w:val="0"/>
                <w:sz w:val="22"/>
                <w:szCs w:val="22"/>
              </w:rPr>
            </w:pPr>
          </w:p>
          <w:p w:rsidR="00217698" w:rsidRDefault="00217698" w:rsidP="00217698">
            <w:pPr>
              <w:pStyle w:val="Corpsdetexte"/>
              <w:ind w:left="360"/>
              <w:rPr>
                <w:rFonts w:ascii="Candara" w:hAnsi="Candara"/>
                <w:b/>
                <w:bCs w:val="0"/>
                <w:sz w:val="22"/>
                <w:szCs w:val="22"/>
              </w:rPr>
            </w:pPr>
            <w:r>
              <w:rPr>
                <w:rFonts w:ascii="Wingdings" w:hAnsi="Wingdings"/>
                <w:bCs w:val="0"/>
                <w:sz w:val="22"/>
                <w:szCs w:val="22"/>
                <w:highlight w:val="lightGray"/>
              </w:rPr>
              <w:sym w:font="Wingdings" w:char="F078"/>
            </w:r>
            <w:r>
              <w:rPr>
                <w:rFonts w:ascii="Candara" w:hAnsi="Candara"/>
                <w:b/>
                <w:bCs w:val="0"/>
                <w:sz w:val="22"/>
                <w:szCs w:val="22"/>
              </w:rPr>
              <w:t>Examen final de fin de semestre : 70%</w:t>
            </w:r>
          </w:p>
          <w:p w:rsidR="00217698" w:rsidRDefault="00217698" w:rsidP="00217698">
            <w:pPr>
              <w:pStyle w:val="Corpsdetexte"/>
              <w:rPr>
                <w:rFonts w:ascii="Candara" w:hAnsi="Candara"/>
              </w:rPr>
            </w:pPr>
          </w:p>
          <w:p w:rsidR="0079045C" w:rsidRDefault="00217698" w:rsidP="00217698">
            <w:pPr>
              <w:pStyle w:val="Corpsdetexte"/>
              <w:ind w:left="360"/>
              <w:rPr>
                <w:rFonts w:ascii="Candara" w:hAnsi="Candara"/>
                <w:sz w:val="22"/>
                <w:szCs w:val="22"/>
              </w:rPr>
            </w:pPr>
            <w:r>
              <w:rPr>
                <w:rFonts w:ascii="Wingdings" w:hAnsi="Wingdings"/>
                <w:sz w:val="22"/>
                <w:szCs w:val="22"/>
                <w:highlight w:val="lightGray"/>
              </w:rPr>
              <w:sym w:font="Wingdings" w:char="F078"/>
            </w:r>
            <w:r>
              <w:rPr>
                <w:rFonts w:ascii="Candara" w:hAnsi="Candara"/>
                <w:b/>
                <w:bCs w:val="0"/>
                <w:sz w:val="22"/>
                <w:szCs w:val="22"/>
              </w:rPr>
              <w:t>Contrôles continus :</w:t>
            </w:r>
            <w:r>
              <w:rPr>
                <w:rFonts w:ascii="Candara" w:hAnsi="Candara"/>
                <w:sz w:val="22"/>
                <w:szCs w:val="22"/>
              </w:rPr>
              <w:t xml:space="preserve"> </w:t>
            </w:r>
            <w:r w:rsidRPr="00027465">
              <w:rPr>
                <w:rFonts w:ascii="Candara" w:hAnsi="Candara"/>
                <w:b/>
                <w:bCs w:val="0"/>
                <w:sz w:val="22"/>
                <w:szCs w:val="22"/>
              </w:rPr>
              <w:t>30%</w:t>
            </w:r>
          </w:p>
          <w:p w:rsidR="00217698" w:rsidRPr="00217698" w:rsidRDefault="00217698" w:rsidP="00217698">
            <w:pPr>
              <w:pStyle w:val="Corpsdetexte"/>
              <w:ind w:left="360"/>
              <w:rPr>
                <w:rFonts w:ascii="Candara" w:hAnsi="Candara"/>
                <w:sz w:val="22"/>
                <w:szCs w:val="22"/>
              </w:rPr>
            </w:pPr>
            <w:r>
              <w:rPr>
                <w:rFonts w:ascii="Candara" w:hAnsi="Candara"/>
                <w:sz w:val="22"/>
                <w:szCs w:val="22"/>
              </w:rPr>
              <w:t>Fiches de lecture ; Exposés ; cartographie ; travail de terrain</w:t>
            </w: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217698" w:rsidTr="004C121D">
        <w:tc>
          <w:tcPr>
            <w:tcW w:w="5000" w:type="pct"/>
            <w:tcBorders>
              <w:top w:val="single" w:sz="12" w:space="0" w:color="auto"/>
              <w:left w:val="single" w:sz="12" w:space="0" w:color="auto"/>
              <w:bottom w:val="single" w:sz="12" w:space="0" w:color="auto"/>
              <w:right w:val="single" w:sz="12" w:space="0" w:color="auto"/>
            </w:tcBorders>
          </w:tcPr>
          <w:p w:rsidR="00217698" w:rsidRPr="00217698" w:rsidRDefault="00217698" w:rsidP="00217698">
            <w:pPr>
              <w:pStyle w:val="Corpsdetexte"/>
              <w:rPr>
                <w:rFonts w:ascii="Candara" w:hAnsi="Candara"/>
                <w:sz w:val="22"/>
                <w:szCs w:val="22"/>
              </w:rPr>
            </w:pPr>
            <w:r w:rsidRPr="00217698">
              <w:rPr>
                <w:rFonts w:ascii="Candara" w:hAnsi="Candara"/>
                <w:sz w:val="22"/>
                <w:szCs w:val="22"/>
              </w:rPr>
              <w:t>50 % : Examen final de fin de semestre</w:t>
            </w:r>
          </w:p>
          <w:p w:rsidR="00BA785F" w:rsidRPr="00217698" w:rsidRDefault="00217698" w:rsidP="00217698">
            <w:pPr>
              <w:pStyle w:val="Corpsdetexte"/>
              <w:ind w:left="126"/>
              <w:rPr>
                <w:rFonts w:ascii="Candara" w:hAnsi="Candara"/>
                <w:sz w:val="22"/>
                <w:szCs w:val="22"/>
              </w:rPr>
            </w:pPr>
            <w:r w:rsidRPr="00217698">
              <w:rPr>
                <w:rFonts w:ascii="Candara" w:hAnsi="Candara"/>
                <w:sz w:val="22"/>
                <w:szCs w:val="22"/>
              </w:rPr>
              <w:t>50 % : Contrôles continus </w:t>
            </w:r>
          </w:p>
        </w:tc>
      </w:tr>
    </w:tbl>
    <w:p w:rsidR="00C45E32" w:rsidRPr="00217698" w:rsidRDefault="00C45E32" w:rsidP="00BA785F">
      <w:pPr>
        <w:pStyle w:val="Paragraphedeliste"/>
        <w:bidi w:val="0"/>
        <w:spacing w:line="240" w:lineRule="exact"/>
        <w:rPr>
          <w:rFonts w:ascii="Candara" w:hAnsi="Candara"/>
          <w:bCs/>
          <w:smallCaps/>
          <w:noProof/>
          <w:color w:val="FF0000"/>
          <w:sz w:val="22"/>
          <w:szCs w:val="22"/>
          <w:lang w:eastAsia="fr-FR"/>
        </w:rPr>
      </w:pPr>
    </w:p>
    <w:p w:rsidR="00C45E32" w:rsidRDefault="00C45E32">
      <w:pPr>
        <w:bidi w:val="0"/>
        <w:spacing w:after="160" w:line="259" w:lineRule="auto"/>
        <w:rPr>
          <w:rFonts w:ascii="Candara" w:hAnsi="Candara"/>
          <w:b/>
          <w:bCs/>
          <w:smallCaps/>
          <w:noProof/>
          <w:color w:val="FF0000"/>
          <w:lang w:eastAsia="fr-FR"/>
        </w:rPr>
      </w:pPr>
      <w:r>
        <w:rPr>
          <w:rFonts w:ascii="Candara" w:hAnsi="Candara"/>
          <w:b/>
          <w:bCs/>
          <w:smallCaps/>
          <w:noProof/>
          <w:color w:val="FF0000"/>
          <w:lang w:eastAsia="fr-FR"/>
        </w:rPr>
        <w:br w:type="page"/>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rPr>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4C6062" w:rsidP="004C121D">
            <w:pPr>
              <w:pStyle w:val="Corpsdetexte"/>
              <w:rPr>
                <w:rFonts w:ascii="Candara" w:hAnsi="Candara"/>
                <w:sz w:val="20"/>
                <w:szCs w:val="20"/>
              </w:rPr>
            </w:pPr>
            <w:r>
              <w:rPr>
                <w:rFonts w:ascii="Candara" w:hAnsi="Candara"/>
                <w:sz w:val="20"/>
                <w:szCs w:val="20"/>
              </w:rPr>
              <w:t>Liste des ouvrages proposés par l’enseignant :</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proofErr w:type="spellStart"/>
            <w:r w:rsidRPr="00217698">
              <w:rPr>
                <w:rFonts w:asciiTheme="majorBidi" w:eastAsiaTheme="minorHAnsi" w:hAnsiTheme="majorBidi" w:cstheme="majorBidi"/>
                <w:lang w:eastAsia="en-US"/>
              </w:rPr>
              <w:t>Baïroch</w:t>
            </w:r>
            <w:proofErr w:type="spellEnd"/>
            <w:r w:rsidRPr="00217698">
              <w:rPr>
                <w:rFonts w:asciiTheme="majorBidi" w:eastAsiaTheme="minorHAnsi" w:hAnsiTheme="majorBidi" w:cstheme="majorBidi"/>
                <w:lang w:eastAsia="en-US"/>
              </w:rPr>
              <w:t xml:space="preserve"> Paul, 1996, « Cinq millénaires de croissance urbaine ». In Sachs Ignacy (</w:t>
            </w:r>
            <w:proofErr w:type="spellStart"/>
            <w:r w:rsidRPr="00217698">
              <w:rPr>
                <w:rFonts w:asciiTheme="majorBidi" w:eastAsiaTheme="minorHAnsi" w:hAnsiTheme="majorBidi" w:cstheme="majorBidi"/>
                <w:lang w:eastAsia="en-US"/>
              </w:rPr>
              <w:t>dir</w:t>
            </w:r>
            <w:proofErr w:type="spellEnd"/>
            <w:r w:rsidRPr="00217698">
              <w:rPr>
                <w:rFonts w:asciiTheme="majorBidi" w:eastAsiaTheme="minorHAnsi" w:hAnsiTheme="majorBidi" w:cstheme="majorBidi"/>
                <w:lang w:eastAsia="en-US"/>
              </w:rPr>
              <w:t>.), Quelles villes pour quel développement ? Paris, Ed. PUF, pp. 17-60.</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proofErr w:type="spellStart"/>
            <w:r w:rsidRPr="00217698">
              <w:rPr>
                <w:rFonts w:asciiTheme="majorBidi" w:eastAsiaTheme="minorHAnsi" w:hAnsiTheme="majorBidi" w:cstheme="majorBidi"/>
                <w:lang w:eastAsia="en-US"/>
              </w:rPr>
              <w:t>Derycke</w:t>
            </w:r>
            <w:proofErr w:type="spellEnd"/>
            <w:r w:rsidRPr="00217698">
              <w:rPr>
                <w:rFonts w:asciiTheme="majorBidi" w:eastAsiaTheme="minorHAnsi" w:hAnsiTheme="majorBidi" w:cstheme="majorBidi"/>
                <w:lang w:eastAsia="en-US"/>
              </w:rPr>
              <w:t xml:space="preserve"> Pierre-Henri, 2000, « Nouveaux regards sur la croissance et la dynamique des villes ». In Revue Région et Développement, n° 11 –pp. 149-173.</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proofErr w:type="spellStart"/>
            <w:r w:rsidRPr="00217698">
              <w:rPr>
                <w:rFonts w:asciiTheme="majorBidi" w:eastAsiaTheme="minorHAnsi" w:hAnsiTheme="majorBidi" w:cstheme="majorBidi"/>
                <w:lang w:eastAsia="en-US"/>
              </w:rPr>
              <w:t>Burgel</w:t>
            </w:r>
            <w:proofErr w:type="spellEnd"/>
            <w:r w:rsidRPr="00217698">
              <w:rPr>
                <w:rFonts w:asciiTheme="majorBidi" w:eastAsiaTheme="minorHAnsi" w:hAnsiTheme="majorBidi" w:cstheme="majorBidi"/>
                <w:lang w:eastAsia="en-US"/>
              </w:rPr>
              <w:t xml:space="preserve"> Guy, </w:t>
            </w:r>
            <w:proofErr w:type="spellStart"/>
            <w:r w:rsidRPr="00217698">
              <w:rPr>
                <w:rFonts w:asciiTheme="majorBidi" w:eastAsiaTheme="minorHAnsi" w:hAnsiTheme="majorBidi" w:cstheme="majorBidi"/>
                <w:lang w:eastAsia="en-US"/>
              </w:rPr>
              <w:t>Grondeau</w:t>
            </w:r>
            <w:proofErr w:type="spellEnd"/>
            <w:r w:rsidRPr="00217698">
              <w:rPr>
                <w:rFonts w:asciiTheme="majorBidi" w:eastAsiaTheme="minorHAnsi" w:hAnsiTheme="majorBidi" w:cstheme="majorBidi"/>
                <w:lang w:eastAsia="en-US"/>
              </w:rPr>
              <w:t xml:space="preserve"> Alexandre, 2015, Géographie urbaine. Paris, Ed. Hachette</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Espaces et sociétés n° 95/96, 1998/1999, Infrastructures et formes urbaines.</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Espaces et sociétés n° 3, 2000, L'événement spatial en débat.</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Frey Jean-Pierre, 2003,</w:t>
            </w:r>
            <w:proofErr w:type="gramStart"/>
            <w:r w:rsidRPr="00217698">
              <w:rPr>
                <w:rFonts w:asciiTheme="majorBidi" w:eastAsiaTheme="minorHAnsi" w:hAnsiTheme="majorBidi" w:cstheme="majorBidi"/>
                <w:lang w:eastAsia="en-US"/>
              </w:rPr>
              <w:t xml:space="preserve"> «Prolégomènes</w:t>
            </w:r>
            <w:proofErr w:type="gramEnd"/>
            <w:r w:rsidRPr="00217698">
              <w:rPr>
                <w:rFonts w:asciiTheme="majorBidi" w:eastAsiaTheme="minorHAnsi" w:hAnsiTheme="majorBidi" w:cstheme="majorBidi"/>
                <w:lang w:eastAsia="en-US"/>
              </w:rPr>
              <w:t xml:space="preserve"> à une histoire des concepts de morphologie urbaine et de morphologie sociale », in : Morisset Lucie K., </w:t>
            </w:r>
            <w:proofErr w:type="spellStart"/>
            <w:r w:rsidRPr="00217698">
              <w:rPr>
                <w:rFonts w:asciiTheme="majorBidi" w:eastAsiaTheme="minorHAnsi" w:hAnsiTheme="majorBidi" w:cstheme="majorBidi"/>
                <w:lang w:eastAsia="en-US"/>
              </w:rPr>
              <w:t>Noppen</w:t>
            </w:r>
            <w:proofErr w:type="spellEnd"/>
            <w:r w:rsidRPr="00217698">
              <w:rPr>
                <w:rFonts w:asciiTheme="majorBidi" w:eastAsiaTheme="minorHAnsi" w:hAnsiTheme="majorBidi" w:cstheme="majorBidi"/>
                <w:lang w:eastAsia="en-US"/>
              </w:rPr>
              <w:t xml:space="preserve"> Luc, Les Identités urbaines, échos de Montréal, Québec, Éd. Nota bene, pp. 19-35.</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proofErr w:type="spellStart"/>
            <w:r w:rsidRPr="00217698">
              <w:rPr>
                <w:rFonts w:asciiTheme="majorBidi" w:eastAsiaTheme="minorHAnsi" w:hAnsiTheme="majorBidi" w:cstheme="majorBidi"/>
                <w:lang w:eastAsia="en-US"/>
              </w:rPr>
              <w:t>Galinié</w:t>
            </w:r>
            <w:proofErr w:type="spellEnd"/>
            <w:r w:rsidRPr="00217698">
              <w:rPr>
                <w:rFonts w:asciiTheme="majorBidi" w:eastAsiaTheme="minorHAnsi" w:hAnsiTheme="majorBidi" w:cstheme="majorBidi"/>
                <w:lang w:eastAsia="en-US"/>
              </w:rPr>
              <w:t xml:space="preserve"> Henri, Xavier Rodier et Laure </w:t>
            </w:r>
            <w:proofErr w:type="spellStart"/>
            <w:r w:rsidRPr="00217698">
              <w:rPr>
                <w:rFonts w:asciiTheme="majorBidi" w:eastAsiaTheme="minorHAnsi" w:hAnsiTheme="majorBidi" w:cstheme="majorBidi"/>
                <w:lang w:eastAsia="en-US"/>
              </w:rPr>
              <w:t>Saligny</w:t>
            </w:r>
            <w:proofErr w:type="spellEnd"/>
            <w:r w:rsidRPr="00217698">
              <w:rPr>
                <w:rFonts w:asciiTheme="majorBidi" w:eastAsiaTheme="minorHAnsi" w:hAnsiTheme="majorBidi" w:cstheme="majorBidi"/>
                <w:lang w:eastAsia="en-US"/>
              </w:rPr>
              <w:t xml:space="preserve">, « Entités fonctionnelles, entités spatiales et dynamique urbaine dans la longue durée ». </w:t>
            </w:r>
            <w:proofErr w:type="gramStart"/>
            <w:r w:rsidRPr="00217698">
              <w:rPr>
                <w:rFonts w:asciiTheme="majorBidi" w:eastAsiaTheme="minorHAnsi" w:hAnsiTheme="majorBidi" w:cstheme="majorBidi"/>
                <w:lang w:eastAsia="en-US"/>
              </w:rPr>
              <w:t>In  Histoire</w:t>
            </w:r>
            <w:proofErr w:type="gramEnd"/>
            <w:r w:rsidRPr="00217698">
              <w:rPr>
                <w:rFonts w:asciiTheme="majorBidi" w:eastAsiaTheme="minorHAnsi" w:hAnsiTheme="majorBidi" w:cstheme="majorBidi"/>
                <w:lang w:eastAsia="en-US"/>
              </w:rPr>
              <w:t xml:space="preserve"> et mesure, vol. XIX – no 3/4, 2004, p. 223-242.</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Georges Pierre, 1952, La Ville, le fait urbain à travers le monde. Paris, Ed. PUF</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Lévy Albert, 2005, « Formes urbaines et significations : revisiter l</w:t>
            </w:r>
            <w:bookmarkStart w:id="0" w:name="_GoBack"/>
            <w:bookmarkEnd w:id="0"/>
            <w:r w:rsidRPr="00217698">
              <w:rPr>
                <w:rFonts w:asciiTheme="majorBidi" w:eastAsiaTheme="minorHAnsi" w:hAnsiTheme="majorBidi" w:cstheme="majorBidi"/>
                <w:lang w:eastAsia="en-US"/>
              </w:rPr>
              <w:t xml:space="preserve">a morphologie urbaine », in Espaces et sociétés n° 122.  </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 xml:space="preserve">Jacques Lévy et Michel </w:t>
            </w:r>
            <w:proofErr w:type="spellStart"/>
            <w:r w:rsidRPr="00217698">
              <w:rPr>
                <w:rFonts w:asciiTheme="majorBidi" w:eastAsiaTheme="minorHAnsi" w:hAnsiTheme="majorBidi" w:cstheme="majorBidi"/>
                <w:lang w:eastAsia="en-US"/>
              </w:rPr>
              <w:t>Lussault</w:t>
            </w:r>
            <w:proofErr w:type="spellEnd"/>
            <w:r w:rsidRPr="00217698">
              <w:rPr>
                <w:rFonts w:asciiTheme="majorBidi" w:eastAsiaTheme="minorHAnsi" w:hAnsiTheme="majorBidi" w:cstheme="majorBidi"/>
                <w:lang w:eastAsia="en-US"/>
              </w:rPr>
              <w:t xml:space="preserve"> (sous la direction de), 2003, Dictionnaire de la géographie et </w:t>
            </w:r>
            <w:proofErr w:type="gramStart"/>
            <w:r w:rsidRPr="00217698">
              <w:rPr>
                <w:rFonts w:asciiTheme="majorBidi" w:eastAsiaTheme="minorHAnsi" w:hAnsiTheme="majorBidi" w:cstheme="majorBidi"/>
                <w:lang w:eastAsia="en-US"/>
              </w:rPr>
              <w:t>de  l’espace</w:t>
            </w:r>
            <w:proofErr w:type="gramEnd"/>
            <w:r w:rsidRPr="00217698">
              <w:rPr>
                <w:rFonts w:asciiTheme="majorBidi" w:eastAsiaTheme="minorHAnsi" w:hAnsiTheme="majorBidi" w:cstheme="majorBidi"/>
                <w:lang w:eastAsia="en-US"/>
              </w:rPr>
              <w:t xml:space="preserve"> des sociétés. Paris, Éditions Belin</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Marcos Isabel (</w:t>
            </w:r>
            <w:proofErr w:type="spellStart"/>
            <w:r w:rsidRPr="00217698">
              <w:rPr>
                <w:rFonts w:asciiTheme="majorBidi" w:eastAsiaTheme="minorHAnsi" w:hAnsiTheme="majorBidi" w:cstheme="majorBidi"/>
                <w:lang w:eastAsia="en-US"/>
              </w:rPr>
              <w:t>dir</w:t>
            </w:r>
            <w:proofErr w:type="spellEnd"/>
            <w:r w:rsidRPr="00217698">
              <w:rPr>
                <w:rFonts w:asciiTheme="majorBidi" w:eastAsiaTheme="minorHAnsi" w:hAnsiTheme="majorBidi" w:cstheme="majorBidi"/>
                <w:lang w:eastAsia="en-US"/>
              </w:rPr>
              <w:t>.), 2007, Dynamiques de la ville. Essais de sémiotique de l'espace. Paris, Ed. L’Harmattan</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r w:rsidRPr="00217698">
              <w:rPr>
                <w:rFonts w:asciiTheme="majorBidi" w:eastAsiaTheme="minorHAnsi" w:hAnsiTheme="majorBidi" w:cstheme="majorBidi"/>
                <w:lang w:eastAsia="en-US"/>
              </w:rPr>
              <w:t>Rémy Allain, 2004, Morphologie urbaine. Géographie, aménagement et architecture de la ville. Paris, Armand Colin, 254 pages.</w:t>
            </w:r>
          </w:p>
          <w:p w:rsidR="00217698" w:rsidRPr="00217698" w:rsidRDefault="00217698" w:rsidP="00A45AC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proofErr w:type="spellStart"/>
            <w:r w:rsidRPr="00217698">
              <w:rPr>
                <w:rFonts w:asciiTheme="majorBidi" w:eastAsiaTheme="minorHAnsi" w:hAnsiTheme="majorBidi" w:cstheme="majorBidi"/>
                <w:lang w:eastAsia="en-US"/>
              </w:rPr>
              <w:t>Roncayolo</w:t>
            </w:r>
            <w:proofErr w:type="spellEnd"/>
            <w:r w:rsidRPr="00217698">
              <w:rPr>
                <w:rFonts w:asciiTheme="majorBidi" w:eastAsiaTheme="minorHAnsi" w:hAnsiTheme="majorBidi" w:cstheme="majorBidi"/>
                <w:lang w:eastAsia="en-US"/>
              </w:rPr>
              <w:t xml:space="preserve"> Marcel, 1990, La Ville et ses territoires Paris, Gallimard, 278 p. </w:t>
            </w:r>
          </w:p>
          <w:p w:rsidR="00217698" w:rsidRPr="00217698" w:rsidRDefault="00217698" w:rsidP="00217698">
            <w:pPr>
              <w:pStyle w:val="Paragraphedeliste"/>
              <w:numPr>
                <w:ilvl w:val="0"/>
                <w:numId w:val="23"/>
              </w:numPr>
              <w:bidi w:val="0"/>
              <w:spacing w:before="120" w:after="120" w:line="276" w:lineRule="auto"/>
              <w:ind w:left="477"/>
              <w:jc w:val="both"/>
              <w:rPr>
                <w:rFonts w:asciiTheme="majorBidi" w:eastAsiaTheme="minorHAnsi" w:hAnsiTheme="majorBidi" w:cstheme="majorBidi"/>
                <w:lang w:eastAsia="en-US"/>
              </w:rPr>
            </w:pPr>
            <w:proofErr w:type="spellStart"/>
            <w:r w:rsidRPr="00217698">
              <w:rPr>
                <w:rFonts w:asciiTheme="majorBidi" w:eastAsiaTheme="minorHAnsi" w:hAnsiTheme="majorBidi" w:cstheme="majorBidi"/>
                <w:lang w:eastAsia="en-US"/>
              </w:rPr>
              <w:lastRenderedPageBreak/>
              <w:t>Roncayolo</w:t>
            </w:r>
            <w:proofErr w:type="spellEnd"/>
            <w:r w:rsidRPr="00217698">
              <w:rPr>
                <w:rFonts w:asciiTheme="majorBidi" w:eastAsiaTheme="minorHAnsi" w:hAnsiTheme="majorBidi" w:cstheme="majorBidi"/>
                <w:lang w:eastAsia="en-US"/>
              </w:rPr>
              <w:t xml:space="preserve"> Marcel, 2002, Lectures de villes. Formes et temps, Marseille, Éditions Parenthèses, 383 p.</w:t>
            </w:r>
          </w:p>
          <w:p w:rsidR="00BA785F" w:rsidRPr="00217698" w:rsidRDefault="00217698" w:rsidP="00217698">
            <w:pPr>
              <w:pStyle w:val="Paragraphedeliste"/>
              <w:numPr>
                <w:ilvl w:val="0"/>
                <w:numId w:val="23"/>
              </w:numPr>
              <w:bidi w:val="0"/>
              <w:spacing w:before="120" w:after="120" w:line="276" w:lineRule="auto"/>
              <w:ind w:left="477"/>
              <w:jc w:val="both"/>
              <w:rPr>
                <w:rFonts w:ascii="Candara" w:hAnsi="Candara"/>
                <w:sz w:val="20"/>
                <w:szCs w:val="20"/>
              </w:rPr>
            </w:pPr>
            <w:proofErr w:type="spellStart"/>
            <w:r w:rsidRPr="00217698">
              <w:rPr>
                <w:rFonts w:asciiTheme="majorBidi" w:eastAsiaTheme="minorHAnsi" w:hAnsiTheme="majorBidi" w:cstheme="majorBidi"/>
                <w:lang w:eastAsia="en-US"/>
              </w:rPr>
              <w:t>Véron</w:t>
            </w:r>
            <w:proofErr w:type="spellEnd"/>
            <w:r w:rsidRPr="00217698">
              <w:rPr>
                <w:rFonts w:asciiTheme="majorBidi" w:eastAsiaTheme="minorHAnsi" w:hAnsiTheme="majorBidi" w:cstheme="majorBidi"/>
                <w:lang w:eastAsia="en-US"/>
              </w:rPr>
              <w:t xml:space="preserve"> Jacques, 2006, L’urbanisation du monde. Paris, Ed. La Découverte.</w:t>
            </w:r>
            <w:r w:rsidR="004C6062">
              <w:rPr>
                <w:rFonts w:ascii="Candara" w:hAnsi="Candara"/>
                <w:sz w:val="20"/>
                <w:szCs w:val="20"/>
              </w:rPr>
              <w:t xml:space="preserve"> </w:t>
            </w: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8"/>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F39" w:rsidRDefault="00E45F39" w:rsidP="009527DC">
      <w:r>
        <w:separator/>
      </w:r>
    </w:p>
  </w:endnote>
  <w:endnote w:type="continuationSeparator" w:id="0">
    <w:p w:rsidR="00E45F39" w:rsidRDefault="00E45F39"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autami">
    <w:panose1 w:val="02000500000000000000"/>
    <w:charset w:val="01"/>
    <w:family w:val="roman"/>
    <w:notTrueType/>
    <w:pitch w:val="variable"/>
  </w:font>
  <w:font w:name="AL-Mohanad Bold">
    <w:altName w:val="Arial"/>
    <w:panose1 w:val="00000000000000000000"/>
    <w:charset w:val="B2"/>
    <w:family w:val="auto"/>
    <w:pitch w:val="variable"/>
    <w:sig w:usb0="00002001" w:usb1="00000000" w:usb2="00000000" w:usb3="00000000" w:csb0="0000004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A45AC8">
      <w:rPr>
        <w:caps/>
        <w:noProof/>
        <w:color w:val="5B9BD5" w:themeColor="accent1"/>
        <w:rtl/>
      </w:rPr>
      <w:t>7</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F39" w:rsidRDefault="00E45F39" w:rsidP="009527DC">
      <w:r>
        <w:separator/>
      </w:r>
    </w:p>
  </w:footnote>
  <w:footnote w:type="continuationSeparator" w:id="0">
    <w:p w:rsidR="00E45F39" w:rsidRDefault="00E45F39"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8890EE2"/>
    <w:multiLevelType w:val="multilevel"/>
    <w:tmpl w:val="D5E0AA68"/>
    <w:lvl w:ilvl="0">
      <w:start w:val="1"/>
      <w:numFmt w:val="irohaFullWidth"/>
      <w:lvlText w:val="-"/>
      <w:lvlJc w:val="left"/>
      <w:pPr>
        <w:tabs>
          <w:tab w:val="num" w:pos="720"/>
        </w:tabs>
        <w:ind w:left="720" w:hanging="360"/>
      </w:pPr>
      <w:rPr>
        <w:rFonts w:ascii="Times New Roman" w:eastAsia="Times New Roman" w:hAnsi="Times New Roman" w:cs="Times New Roman" w:hint="default"/>
      </w:rPr>
    </w:lvl>
    <w:lvl w:ilvl="1">
      <w:start w:val="1"/>
      <w:numFmt w:val="irohaFullWidth"/>
      <w:lvlText w:val="o"/>
      <w:lvlJc w:val="left"/>
      <w:pPr>
        <w:tabs>
          <w:tab w:val="num" w:pos="1440"/>
        </w:tabs>
        <w:ind w:left="1440" w:hanging="360"/>
      </w:pPr>
      <w:rPr>
        <w:rFonts w:ascii="Times New Roman" w:hAnsi="Times New Roman" w:cs="Times New Roman" w:hint="default"/>
      </w:rPr>
    </w:lvl>
    <w:lvl w:ilvl="2">
      <w:start w:val="1"/>
      <w:numFmt w:val="irohaFullWidth"/>
      <w:lvlText w:val=""/>
      <w:lvlJc w:val="left"/>
      <w:pPr>
        <w:tabs>
          <w:tab w:val="num" w:pos="2160"/>
        </w:tabs>
        <w:ind w:left="2160" w:hanging="360"/>
      </w:pPr>
      <w:rPr>
        <w:rFonts w:ascii="Times New Roman" w:hAnsi="Times New Roman" w:cs="Times New Roman" w:hint="default"/>
      </w:rPr>
    </w:lvl>
    <w:lvl w:ilvl="3">
      <w:start w:val="1"/>
      <w:numFmt w:val="irohaFullWidth"/>
      <w:lvlText w:val=""/>
      <w:lvlJc w:val="left"/>
      <w:pPr>
        <w:tabs>
          <w:tab w:val="num" w:pos="2880"/>
        </w:tabs>
        <w:ind w:left="2880" w:hanging="360"/>
      </w:pPr>
      <w:rPr>
        <w:rFonts w:ascii="Times New Roman" w:hAnsi="Times New Roman" w:cs="Times New Roman" w:hint="default"/>
      </w:rPr>
    </w:lvl>
    <w:lvl w:ilvl="4">
      <w:start w:val="1"/>
      <w:numFmt w:val="irohaFullWidth"/>
      <w:lvlText w:val="o"/>
      <w:lvlJc w:val="left"/>
      <w:pPr>
        <w:tabs>
          <w:tab w:val="num" w:pos="3600"/>
        </w:tabs>
        <w:ind w:left="3600" w:hanging="360"/>
      </w:pPr>
      <w:rPr>
        <w:rFonts w:ascii="Times New Roman" w:hAnsi="Times New Roman" w:cs="Times New Roman" w:hint="default"/>
      </w:rPr>
    </w:lvl>
    <w:lvl w:ilvl="5">
      <w:start w:val="1"/>
      <w:numFmt w:val="irohaFullWidth"/>
      <w:lvlText w:val=""/>
      <w:lvlJc w:val="left"/>
      <w:pPr>
        <w:tabs>
          <w:tab w:val="num" w:pos="4320"/>
        </w:tabs>
        <w:ind w:left="4320" w:hanging="360"/>
      </w:pPr>
      <w:rPr>
        <w:rFonts w:ascii="Times New Roman" w:hAnsi="Times New Roman" w:cs="Times New Roman" w:hint="default"/>
      </w:rPr>
    </w:lvl>
    <w:lvl w:ilvl="6">
      <w:start w:val="1"/>
      <w:numFmt w:val="irohaFullWidth"/>
      <w:lvlText w:val=""/>
      <w:lvlJc w:val="left"/>
      <w:pPr>
        <w:tabs>
          <w:tab w:val="num" w:pos="5040"/>
        </w:tabs>
        <w:ind w:left="5040" w:hanging="360"/>
      </w:pPr>
      <w:rPr>
        <w:rFonts w:ascii="Times New Roman" w:hAnsi="Times New Roman" w:cs="Times New Roman" w:hint="default"/>
      </w:rPr>
    </w:lvl>
    <w:lvl w:ilvl="7">
      <w:start w:val="1"/>
      <w:numFmt w:val="irohaFullWidth"/>
      <w:lvlText w:val="o"/>
      <w:lvlJc w:val="left"/>
      <w:pPr>
        <w:tabs>
          <w:tab w:val="num" w:pos="5760"/>
        </w:tabs>
        <w:ind w:left="5760" w:hanging="360"/>
      </w:pPr>
      <w:rPr>
        <w:rFonts w:ascii="Times New Roman" w:hAnsi="Times New Roman" w:cs="Times New Roman" w:hint="default"/>
      </w:rPr>
    </w:lvl>
    <w:lvl w:ilvl="8">
      <w:start w:val="1"/>
      <w:numFmt w:val="irohaFullWidth"/>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7123B"/>
    <w:multiLevelType w:val="hybridMultilevel"/>
    <w:tmpl w:val="0F90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F70F5"/>
    <w:multiLevelType w:val="hybridMultilevel"/>
    <w:tmpl w:val="C006294A"/>
    <w:lvl w:ilvl="0" w:tplc="35E29F68">
      <w:numFmt w:val="bullet"/>
      <w:lvlText w:val="-"/>
      <w:lvlJc w:val="left"/>
      <w:pPr>
        <w:ind w:left="720" w:hanging="360"/>
      </w:pPr>
      <w:rPr>
        <w:rFonts w:ascii="Candara" w:eastAsia="Times New Roman" w:hAnsi="Candar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8236F"/>
    <w:multiLevelType w:val="hybridMultilevel"/>
    <w:tmpl w:val="28E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B6BED"/>
    <w:multiLevelType w:val="hybridMultilevel"/>
    <w:tmpl w:val="1E1C6134"/>
    <w:lvl w:ilvl="0" w:tplc="040C0001">
      <w:start w:val="1"/>
      <w:numFmt w:val="bullet"/>
      <w:lvlText w:val=""/>
      <w:lvlJc w:val="left"/>
      <w:pPr>
        <w:ind w:left="720" w:hanging="360"/>
      </w:pPr>
      <w:rPr>
        <w:rFonts w:ascii="Symbol" w:hAnsi="Symbol" w:hint="default"/>
      </w:rPr>
    </w:lvl>
    <w:lvl w:ilvl="1" w:tplc="3EA46A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20"/>
  </w:num>
  <w:num w:numId="5">
    <w:abstractNumId w:val="3"/>
  </w:num>
  <w:num w:numId="6">
    <w:abstractNumId w:val="2"/>
  </w:num>
  <w:num w:numId="7">
    <w:abstractNumId w:val="0"/>
  </w:num>
  <w:num w:numId="8">
    <w:abstractNumId w:val="12"/>
  </w:num>
  <w:num w:numId="9">
    <w:abstractNumId w:val="16"/>
  </w:num>
  <w:num w:numId="10">
    <w:abstractNumId w:val="17"/>
  </w:num>
  <w:num w:numId="11">
    <w:abstractNumId w:val="5"/>
  </w:num>
  <w:num w:numId="12">
    <w:abstractNumId w:val="15"/>
  </w:num>
  <w:num w:numId="13">
    <w:abstractNumId w:val="19"/>
  </w:num>
  <w:num w:numId="14">
    <w:abstractNumId w:val="21"/>
  </w:num>
  <w:num w:numId="15">
    <w:abstractNumId w:val="7"/>
  </w:num>
  <w:num w:numId="16">
    <w:abstractNumId w:val="18"/>
  </w:num>
  <w:num w:numId="17">
    <w:abstractNumId w:val="6"/>
  </w:num>
  <w:num w:numId="18">
    <w:abstractNumId w:val="10"/>
  </w:num>
  <w:num w:numId="19">
    <w:abstractNumId w:val="4"/>
  </w:num>
  <w:num w:numId="20">
    <w:abstractNumId w:val="9"/>
  </w:num>
  <w:num w:numId="21">
    <w:abstractNumId w:val="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97EA4"/>
    <w:rsid w:val="000F43A1"/>
    <w:rsid w:val="001247EB"/>
    <w:rsid w:val="0016362B"/>
    <w:rsid w:val="001E426A"/>
    <w:rsid w:val="00217698"/>
    <w:rsid w:val="0027627B"/>
    <w:rsid w:val="002902AB"/>
    <w:rsid w:val="0031544F"/>
    <w:rsid w:val="00315734"/>
    <w:rsid w:val="00323E33"/>
    <w:rsid w:val="00353B43"/>
    <w:rsid w:val="0036473E"/>
    <w:rsid w:val="004475E5"/>
    <w:rsid w:val="00463864"/>
    <w:rsid w:val="00495E0E"/>
    <w:rsid w:val="004C6062"/>
    <w:rsid w:val="00545FAB"/>
    <w:rsid w:val="0059063E"/>
    <w:rsid w:val="006D0109"/>
    <w:rsid w:val="006F36AF"/>
    <w:rsid w:val="00751050"/>
    <w:rsid w:val="00787EA7"/>
    <w:rsid w:val="0079045C"/>
    <w:rsid w:val="007F30A1"/>
    <w:rsid w:val="0081492E"/>
    <w:rsid w:val="00854AA9"/>
    <w:rsid w:val="008B26EC"/>
    <w:rsid w:val="009527DC"/>
    <w:rsid w:val="009C1FC5"/>
    <w:rsid w:val="00A45AC8"/>
    <w:rsid w:val="00AB793E"/>
    <w:rsid w:val="00AF43EC"/>
    <w:rsid w:val="00B325CE"/>
    <w:rsid w:val="00B717F0"/>
    <w:rsid w:val="00B746F0"/>
    <w:rsid w:val="00BA785F"/>
    <w:rsid w:val="00BB2A10"/>
    <w:rsid w:val="00BE4C8E"/>
    <w:rsid w:val="00C45E32"/>
    <w:rsid w:val="00C76342"/>
    <w:rsid w:val="00D05145"/>
    <w:rsid w:val="00DF1971"/>
    <w:rsid w:val="00DF26B1"/>
    <w:rsid w:val="00E000EB"/>
    <w:rsid w:val="00E14926"/>
    <w:rsid w:val="00E272AF"/>
    <w:rsid w:val="00E44EE4"/>
    <w:rsid w:val="00E45F39"/>
    <w:rsid w:val="00E724F4"/>
    <w:rsid w:val="00ED3D0C"/>
    <w:rsid w:val="00F24599"/>
    <w:rsid w:val="00F778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17157"/>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C3B01-3F71-4FD4-B21E-0712905B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1052</Words>
  <Characters>5999</Characters>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2021-02-10T14:23:00Z</dcterms:modified>
</cp:coreProperties>
</file>